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2898" w14:textId="77777777" w:rsidR="00EB365E" w:rsidRDefault="00EB365E" w:rsidP="00EB365E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postanowienia/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37F3B6B" w14:textId="3936D885" w:rsidR="00EB365E" w:rsidRDefault="00EB365E" w:rsidP="00EB365E">
      <w:pPr>
        <w:jc w:val="both"/>
      </w:pPr>
      <w:r>
        <w:rPr>
          <w:rFonts w:ascii="Calibri" w:eastAsia="Calibri" w:hAnsi="Calibri" w:cs="Calibri"/>
          <w:color w:val="FF0000"/>
        </w:rPr>
        <w:t xml:space="preserve">Protokół Strony umowy najmu mogą wykorzystać dwukrotnie - zarówno w chwili wydania Przedmiotu najmu Najemcy, jak i w chwili odbioru Przedmiotu najmu przez Wynajmującego po zakończeniu umowy najmu. </w:t>
      </w:r>
    </w:p>
    <w:p w14:paraId="43173670" w14:textId="476C7349" w:rsidR="00EB365E" w:rsidRDefault="00EB365E" w:rsidP="00EB365E">
      <w:pPr>
        <w:jc w:val="both"/>
      </w:pPr>
      <w:r>
        <w:rPr>
          <w:rFonts w:ascii="Calibri" w:eastAsia="Calibri" w:hAnsi="Calibri" w:cs="Calibri"/>
          <w:color w:val="FF0000"/>
        </w:rPr>
        <w:t xml:space="preserve">W chwili wydania Przedmiotu najmu Najemcy (tj. na początku trwania najmu), Wynajmujący jest </w:t>
      </w:r>
      <w:r>
        <w:rPr>
          <w:rFonts w:ascii="Calibri" w:eastAsia="Calibri" w:hAnsi="Calibri" w:cs="Calibri"/>
          <w:b/>
          <w:bCs/>
          <w:color w:val="FF0000"/>
        </w:rPr>
        <w:t>Zdającym</w:t>
      </w:r>
      <w:r>
        <w:rPr>
          <w:rFonts w:ascii="Calibri" w:eastAsia="Calibri" w:hAnsi="Calibri" w:cs="Calibri"/>
          <w:color w:val="FF0000"/>
        </w:rPr>
        <w:t xml:space="preserve">, zaś Najemca </w:t>
      </w:r>
      <w:r>
        <w:rPr>
          <w:rFonts w:ascii="Calibri" w:eastAsia="Calibri" w:hAnsi="Calibri" w:cs="Calibri"/>
          <w:b/>
          <w:bCs/>
          <w:color w:val="FF0000"/>
        </w:rPr>
        <w:t>Przejmującym</w:t>
      </w:r>
      <w:r>
        <w:rPr>
          <w:rFonts w:ascii="Calibri" w:eastAsia="Calibri" w:hAnsi="Calibri" w:cs="Calibri"/>
          <w:color w:val="FF0000"/>
        </w:rPr>
        <w:t xml:space="preserve">. </w:t>
      </w:r>
    </w:p>
    <w:p w14:paraId="6C9033DC" w14:textId="22013890" w:rsidR="00EB365E" w:rsidRDefault="00EB365E" w:rsidP="00EB365E">
      <w:pPr>
        <w:jc w:val="both"/>
      </w:pPr>
      <w:r>
        <w:rPr>
          <w:rFonts w:ascii="Calibri" w:eastAsia="Calibri" w:hAnsi="Calibri" w:cs="Calibri"/>
          <w:color w:val="FF0000"/>
        </w:rPr>
        <w:t xml:space="preserve">Z kolej po zakończeniu Najmu, w chwili zwrotu Przedmiotu najmu, to Najemca będzie </w:t>
      </w:r>
      <w:r>
        <w:rPr>
          <w:rFonts w:ascii="Calibri" w:eastAsia="Calibri" w:hAnsi="Calibri" w:cs="Calibri"/>
          <w:b/>
          <w:bCs/>
          <w:color w:val="FF0000"/>
        </w:rPr>
        <w:t>Zdającym</w:t>
      </w:r>
      <w:r>
        <w:rPr>
          <w:rFonts w:ascii="Calibri" w:eastAsia="Calibri" w:hAnsi="Calibri" w:cs="Calibri"/>
          <w:color w:val="FF0000"/>
        </w:rPr>
        <w:t xml:space="preserve">, a Wynajmujący będzie </w:t>
      </w:r>
      <w:r>
        <w:rPr>
          <w:rFonts w:ascii="Calibri" w:eastAsia="Calibri" w:hAnsi="Calibri" w:cs="Calibri"/>
          <w:b/>
          <w:bCs/>
          <w:color w:val="FF0000"/>
        </w:rPr>
        <w:t>Przejmującym</w:t>
      </w:r>
      <w:r>
        <w:rPr>
          <w:rFonts w:ascii="Calibri" w:eastAsia="Calibri" w:hAnsi="Calibri" w:cs="Calibri"/>
          <w:color w:val="FF0000"/>
        </w:rPr>
        <w:t>.</w:t>
      </w:r>
    </w:p>
    <w:p w14:paraId="73228291" w14:textId="77777777" w:rsidR="00EB365E" w:rsidRDefault="00EB365E" w:rsidP="00EB365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7FA6D" w14:textId="77777777" w:rsidR="00EB365E" w:rsidRDefault="00EB365E" w:rsidP="00EB365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7D4EE3E9" w14:textId="77777777" w:rsidR="00EB365E" w:rsidRDefault="00EB365E" w:rsidP="00EB365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8A6A50" w14:textId="77777777" w:rsidR="00EB365E" w:rsidRDefault="00EB365E" w:rsidP="00EB36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Sporządzony w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] w dniu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sporządzenia protokołu</w:t>
      </w:r>
      <w:r>
        <w:rPr>
          <w:rFonts w:asciiTheme="minorHAnsi" w:hAnsiTheme="minorHAnsi" w:cstheme="minorHAnsi"/>
          <w:sz w:val="22"/>
          <w:szCs w:val="22"/>
        </w:rPr>
        <w:t>] pomiędzy:</w:t>
      </w:r>
    </w:p>
    <w:p w14:paraId="171D64E5" w14:textId="77777777" w:rsidR="00EB365E" w:rsidRDefault="00EB365E" w:rsidP="00EB36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B452E5" w14:textId="77777777" w:rsidR="00EB365E" w:rsidRDefault="00EB365E" w:rsidP="00EB365E">
      <w:pPr>
        <w:jc w:val="both"/>
        <w:rPr>
          <w:rFonts w:cstheme="minorHAnsi"/>
        </w:rPr>
      </w:pPr>
      <w:r>
        <w:t>[</w:t>
      </w:r>
      <w:r>
        <w:rPr>
          <w:i/>
          <w:iCs/>
          <w:highlight w:val="yellow"/>
        </w:rPr>
        <w:t>Imię</w:t>
      </w:r>
      <w:r>
        <w:t>] [</w:t>
      </w:r>
      <w:r>
        <w:rPr>
          <w:i/>
          <w:iCs/>
          <w:highlight w:val="yellow"/>
        </w:rPr>
        <w:t>Nazwisko</w:t>
      </w:r>
      <w:r>
        <w:t xml:space="preserve">], zam. </w:t>
      </w:r>
      <w:r>
        <w:rPr>
          <w:rFonts w:cstheme="minorHAnsi"/>
        </w:rPr>
        <w:t>ul. [</w:t>
      </w:r>
      <w:r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], [</w:t>
      </w:r>
      <w:r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 xml:space="preserve">], </w:t>
      </w:r>
      <w:r>
        <w:t>legitymujący się dowodem osobistym wydanym przez [</w:t>
      </w:r>
      <w:r>
        <w:rPr>
          <w:i/>
          <w:iCs/>
          <w:highlight w:val="yellow"/>
        </w:rPr>
        <w:t>nazwa organu</w:t>
      </w:r>
      <w:r>
        <w:t xml:space="preserve">] o numerze [ </w:t>
      </w:r>
      <w:r>
        <w:rPr>
          <w:i/>
          <w:iCs/>
          <w:highlight w:val="yellow"/>
        </w:rPr>
        <w:t>numer i seria dowodu osobistego</w:t>
      </w:r>
      <w:r>
        <w:t>], PESEL: [</w:t>
      </w:r>
      <w:r>
        <w:rPr>
          <w:i/>
          <w:iCs/>
          <w:highlight w:val="yellow"/>
        </w:rPr>
        <w:t>numer PESEL</w:t>
      </w:r>
      <w:r>
        <w:t>]</w:t>
      </w:r>
      <w:r>
        <w:rPr>
          <w:rFonts w:cstheme="minorHAnsi"/>
        </w:rPr>
        <w:t>,</w:t>
      </w:r>
    </w:p>
    <w:p w14:paraId="69DD13C0" w14:textId="77777777" w:rsidR="00EB365E" w:rsidRDefault="00EB365E" w:rsidP="00EB365E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614B908E" w14:textId="77777777" w:rsidR="00EB365E" w:rsidRDefault="00EB365E" w:rsidP="00EB365E">
      <w:pPr>
        <w:jc w:val="both"/>
      </w:pPr>
      <w:r>
        <w:t xml:space="preserve">a </w:t>
      </w:r>
    </w:p>
    <w:p w14:paraId="2AF56F54" w14:textId="77777777" w:rsidR="00EB365E" w:rsidRDefault="00EB365E" w:rsidP="00EB365E">
      <w:pPr>
        <w:jc w:val="both"/>
        <w:rPr>
          <w:rFonts w:cstheme="minorHAnsi"/>
        </w:rPr>
      </w:pPr>
      <w:r>
        <w:t>[</w:t>
      </w:r>
      <w:r>
        <w:rPr>
          <w:i/>
          <w:iCs/>
          <w:highlight w:val="yellow"/>
        </w:rPr>
        <w:t>Imię</w:t>
      </w:r>
      <w:r>
        <w:t>] [</w:t>
      </w:r>
      <w:r>
        <w:rPr>
          <w:i/>
          <w:iCs/>
          <w:highlight w:val="yellow"/>
        </w:rPr>
        <w:t>Nazwisko</w:t>
      </w:r>
      <w:r>
        <w:t xml:space="preserve">], zam. </w:t>
      </w:r>
      <w:r>
        <w:rPr>
          <w:rFonts w:cstheme="minorHAnsi"/>
        </w:rPr>
        <w:t>ul. [</w:t>
      </w:r>
      <w:r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], [</w:t>
      </w:r>
      <w:r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 xml:space="preserve">] </w:t>
      </w:r>
      <w:r>
        <w:t>legitymujący się dowodem osobistym wydanym przez [</w:t>
      </w:r>
      <w:r>
        <w:rPr>
          <w:i/>
          <w:iCs/>
          <w:highlight w:val="yellow"/>
        </w:rPr>
        <w:t>nazwa organu</w:t>
      </w:r>
      <w:r>
        <w:t xml:space="preserve">] o numerze [ </w:t>
      </w:r>
      <w:r>
        <w:rPr>
          <w:i/>
          <w:iCs/>
          <w:highlight w:val="yellow"/>
        </w:rPr>
        <w:t>numer i seria dowodu osobistego</w:t>
      </w:r>
      <w:r>
        <w:t>], PESEL: [</w:t>
      </w:r>
      <w:r>
        <w:rPr>
          <w:i/>
          <w:iCs/>
          <w:highlight w:val="yellow"/>
        </w:rPr>
        <w:t>numer PESEL</w:t>
      </w:r>
      <w:r>
        <w:t>]</w:t>
      </w:r>
      <w:r>
        <w:rPr>
          <w:rFonts w:cstheme="minorHAnsi"/>
        </w:rPr>
        <w:t>,</w:t>
      </w:r>
    </w:p>
    <w:p w14:paraId="24BCB7E5" w14:textId="77777777" w:rsidR="00EB365E" w:rsidRDefault="00EB365E" w:rsidP="00EB365E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76E77F84" w14:textId="77777777" w:rsidR="00EB365E" w:rsidRDefault="00EB365E" w:rsidP="00EB365E">
      <w:pPr>
        <w:jc w:val="both"/>
      </w:pPr>
      <w:r>
        <w:rPr>
          <w:rFonts w:cstheme="minorHAnsi"/>
        </w:rPr>
        <w:t>o następującej treści:</w:t>
      </w:r>
    </w:p>
    <w:p w14:paraId="2A13D50E" w14:textId="050E680D" w:rsidR="00EB365E" w:rsidRDefault="00EB365E" w:rsidP="00EB36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Zdający wydaje a Przejmujący odbiera: </w:t>
      </w:r>
    </w:p>
    <w:p w14:paraId="4FFCE25F" w14:textId="1FF9FABB" w:rsidR="00EB365E" w:rsidRDefault="00EB365E" w:rsidP="00EB365E">
      <w:pPr>
        <w:numPr>
          <w:ilvl w:val="1"/>
          <w:numId w:val="1"/>
        </w:numPr>
        <w:suppressAutoHyphens/>
        <w:spacing w:after="120" w:line="257" w:lineRule="auto"/>
        <w:contextualSpacing/>
        <w:jc w:val="both"/>
      </w:pPr>
      <w:r>
        <w:t xml:space="preserve">nieruchomość gruntową zlokalizowaną </w:t>
      </w:r>
      <w:r w:rsidRPr="00FF48F3">
        <w:t xml:space="preserve">w  </w:t>
      </w:r>
      <w:r>
        <w:t>[</w:t>
      </w:r>
      <w:r w:rsidRPr="00E85897">
        <w:rPr>
          <w:i/>
          <w:iCs/>
          <w:highlight w:val="yellow"/>
        </w:rPr>
        <w:t>miejscowość</w:t>
      </w:r>
      <w:r>
        <w:t>]</w:t>
      </w:r>
      <w:r w:rsidRPr="00FF48F3">
        <w:t xml:space="preserve"> przy ul. </w:t>
      </w:r>
      <w:r>
        <w:t>[</w:t>
      </w:r>
      <w:r w:rsidRPr="0045701D">
        <w:rPr>
          <w:i/>
          <w:iCs/>
          <w:highlight w:val="yellow"/>
        </w:rPr>
        <w:t>nazwa ulicy i numer</w:t>
      </w:r>
      <w:r>
        <w:t>]</w:t>
      </w:r>
      <w:r w:rsidRPr="00FF48F3">
        <w:t>,</w:t>
      </w:r>
      <w:r>
        <w:t xml:space="preserve"> </w:t>
      </w:r>
      <w:r w:rsidRPr="00FF48F3">
        <w:t>dla które</w:t>
      </w:r>
      <w:r>
        <w:t>j</w:t>
      </w:r>
      <w:r w:rsidRPr="00FF48F3">
        <w:t xml:space="preserve"> Sąd </w:t>
      </w:r>
      <w:r>
        <w:t>Rejonowy</w:t>
      </w:r>
      <w:r w:rsidRPr="00FF48F3">
        <w:t xml:space="preserve"> w </w:t>
      </w:r>
      <w:r>
        <w:t>[</w:t>
      </w:r>
      <w:r w:rsidRPr="003F4454">
        <w:rPr>
          <w:i/>
          <w:iCs/>
          <w:highlight w:val="yellow"/>
        </w:rPr>
        <w:t xml:space="preserve">miejscowość </w:t>
      </w:r>
      <w:r>
        <w:rPr>
          <w:i/>
          <w:iCs/>
          <w:highlight w:val="yellow"/>
        </w:rPr>
        <w:t>będąca</w:t>
      </w:r>
      <w:r w:rsidRPr="003F4454">
        <w:rPr>
          <w:i/>
          <w:iCs/>
          <w:highlight w:val="yellow"/>
        </w:rPr>
        <w:t xml:space="preserve"> siedzib</w:t>
      </w:r>
      <w:r>
        <w:rPr>
          <w:i/>
          <w:iCs/>
          <w:highlight w:val="yellow"/>
        </w:rPr>
        <w:t xml:space="preserve">ą </w:t>
      </w:r>
      <w:r w:rsidRPr="003F4454">
        <w:rPr>
          <w:i/>
          <w:iCs/>
          <w:highlight w:val="yellow"/>
        </w:rPr>
        <w:t>sądu</w:t>
      </w:r>
      <w:r>
        <w:t>]</w:t>
      </w:r>
      <w:r w:rsidRPr="00FF48F3">
        <w:t xml:space="preserve">, </w:t>
      </w:r>
      <w:r>
        <w:t>[</w:t>
      </w:r>
      <w:r w:rsidRPr="003F4454">
        <w:rPr>
          <w:i/>
          <w:iCs/>
          <w:highlight w:val="yellow"/>
        </w:rPr>
        <w:t>numer wydziału sądu</w:t>
      </w:r>
      <w:r>
        <w:t>] Wydział Ksiąg Wieczystych</w:t>
      </w:r>
      <w:r w:rsidRPr="00FF48F3">
        <w:t xml:space="preserve"> prowadzi księgę wieczystą </w:t>
      </w:r>
      <w:r>
        <w:t>numer</w:t>
      </w:r>
      <w:r w:rsidRPr="00FF48F3">
        <w:t xml:space="preserve"> </w:t>
      </w:r>
      <w:r>
        <w:t>[</w:t>
      </w:r>
      <w:r w:rsidRPr="003F4454">
        <w:rPr>
          <w:i/>
          <w:iCs/>
          <w:highlight w:val="yellow"/>
        </w:rPr>
        <w:t>numer księgi wieczystej</w:t>
      </w:r>
      <w:r>
        <w:t>],</w:t>
      </w:r>
      <w:r w:rsidR="00314B0A">
        <w:t xml:space="preserve"> o powierzchni [</w:t>
      </w:r>
      <w:r w:rsidR="00314B0A" w:rsidRPr="009A2799">
        <w:rPr>
          <w:i/>
          <w:iCs/>
          <w:highlight w:val="yellow"/>
        </w:rPr>
        <w:t>ilość metrów kwadratowych</w:t>
      </w:r>
      <w:r w:rsidR="00314B0A">
        <w:t xml:space="preserve">] </w:t>
      </w:r>
      <w:r w:rsidR="00314B0A" w:rsidRPr="00FF48F3">
        <w:t>m</w:t>
      </w:r>
      <w:r w:rsidR="00314B0A" w:rsidRPr="009A2799">
        <w:rPr>
          <w:vertAlign w:val="superscript"/>
        </w:rPr>
        <w:t>2</w:t>
      </w:r>
      <w:r w:rsidR="00314B0A">
        <w:t xml:space="preserve">, </w:t>
      </w:r>
      <w:r>
        <w:t xml:space="preserve"> dalej jako „</w:t>
      </w:r>
      <w:r w:rsidRPr="006D5941">
        <w:rPr>
          <w:b/>
          <w:bCs/>
        </w:rPr>
        <w:t>Nieruchomość</w:t>
      </w:r>
      <w:r>
        <w:t>”;</w:t>
      </w:r>
    </w:p>
    <w:p w14:paraId="3385299C" w14:textId="0DDCE13F" w:rsidR="00EB365E" w:rsidRDefault="00314B0A" w:rsidP="00EB365E">
      <w:pPr>
        <w:numPr>
          <w:ilvl w:val="1"/>
          <w:numId w:val="1"/>
        </w:numPr>
        <w:suppressAutoHyphens/>
        <w:spacing w:after="120" w:line="257" w:lineRule="auto"/>
        <w:contextualSpacing/>
        <w:jc w:val="both"/>
      </w:pPr>
      <w:r>
        <w:t xml:space="preserve">budynek </w:t>
      </w:r>
      <w:r w:rsidR="00EB365E">
        <w:t>mieszkalny jednorodzinny o łącznej powierzchni [</w:t>
      </w:r>
      <w:r w:rsidR="00EB365E" w:rsidRPr="009A2799">
        <w:rPr>
          <w:i/>
          <w:iCs/>
          <w:highlight w:val="yellow"/>
        </w:rPr>
        <w:t>ilość metrów kwadratowych</w:t>
      </w:r>
      <w:r w:rsidR="00EB365E">
        <w:t xml:space="preserve">] </w:t>
      </w:r>
      <w:r w:rsidR="00EB365E" w:rsidRPr="00FF48F3">
        <w:t>m</w:t>
      </w:r>
      <w:r w:rsidR="00EB365E" w:rsidRPr="009A2799">
        <w:rPr>
          <w:vertAlign w:val="superscript"/>
        </w:rPr>
        <w:t>2</w:t>
      </w:r>
      <w:r w:rsidR="00EB365E">
        <w:t>, [</w:t>
      </w:r>
      <w:r w:rsidR="00EB365E" w:rsidRPr="009A2799">
        <w:rPr>
          <w:i/>
          <w:iCs/>
          <w:highlight w:val="yellow"/>
        </w:rPr>
        <w:t>ilość kondygnacji, np. dwukondygnacyjny</w:t>
      </w:r>
      <w:r w:rsidR="00EB365E">
        <w:t>], podpiwniczony**, z poddaszem użytkowym o powierzchni [</w:t>
      </w:r>
      <w:r w:rsidR="00EB365E" w:rsidRPr="009A2799">
        <w:rPr>
          <w:i/>
          <w:iCs/>
          <w:highlight w:val="yellow"/>
        </w:rPr>
        <w:t>ilość metrów kwadratowych</w:t>
      </w:r>
      <w:r w:rsidR="00EB365E">
        <w:t xml:space="preserve">] </w:t>
      </w:r>
      <w:r w:rsidR="00EB365E" w:rsidRPr="00FF48F3">
        <w:t>m</w:t>
      </w:r>
      <w:r w:rsidR="00EB365E" w:rsidRPr="009A2799">
        <w:rPr>
          <w:vertAlign w:val="superscript"/>
        </w:rPr>
        <w:t>2</w:t>
      </w:r>
      <w:r w:rsidR="00EB365E">
        <w:t>**,  z garażem o powierzchni [</w:t>
      </w:r>
      <w:r w:rsidR="00EB365E" w:rsidRPr="009A2799">
        <w:rPr>
          <w:i/>
          <w:iCs/>
          <w:highlight w:val="yellow"/>
        </w:rPr>
        <w:t>ilość metrów kwadratowych</w:t>
      </w:r>
      <w:r w:rsidR="00EB365E">
        <w:t xml:space="preserve">] </w:t>
      </w:r>
      <w:r w:rsidR="00EB365E" w:rsidRPr="00FF48F3">
        <w:t>m</w:t>
      </w:r>
      <w:r w:rsidR="00EB365E" w:rsidRPr="009A2799">
        <w:rPr>
          <w:vertAlign w:val="superscript"/>
        </w:rPr>
        <w:t>2</w:t>
      </w:r>
      <w:r w:rsidR="00EB365E">
        <w:t>**</w:t>
      </w:r>
      <w:r>
        <w:t xml:space="preserve"> oraz wyposażeniem,</w:t>
      </w:r>
      <w:r w:rsidR="00EB365E">
        <w:t xml:space="preserve"> dalej jako „</w:t>
      </w:r>
      <w:r w:rsidR="00EB365E" w:rsidRPr="009A2799">
        <w:rPr>
          <w:b/>
          <w:bCs/>
        </w:rPr>
        <w:t>Dom</w:t>
      </w:r>
      <w:r w:rsidR="00EB365E">
        <w:t>”</w:t>
      </w:r>
      <w:r>
        <w:t>,</w:t>
      </w:r>
    </w:p>
    <w:p w14:paraId="6DB9EACD" w14:textId="7BF40CC8" w:rsidR="00314B0A" w:rsidRDefault="00314B0A" w:rsidP="00314B0A">
      <w:pPr>
        <w:suppressAutoHyphens/>
        <w:spacing w:after="120" w:line="257" w:lineRule="auto"/>
        <w:ind w:left="1440"/>
        <w:contextualSpacing/>
        <w:jc w:val="both"/>
      </w:pPr>
      <w:r>
        <w:t>zwane dalej łącznie „</w:t>
      </w:r>
      <w:r w:rsidRPr="00314B0A">
        <w:rPr>
          <w:b/>
          <w:bCs/>
        </w:rPr>
        <w:t>Przedmiotem najmu</w:t>
      </w:r>
      <w:r>
        <w:t>”</w:t>
      </w:r>
    </w:p>
    <w:p w14:paraId="14BA73E5" w14:textId="77777777" w:rsidR="00EB365E" w:rsidRDefault="00EB365E" w:rsidP="00EB36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4FA791" w14:textId="77777777" w:rsidR="00EB365E" w:rsidRDefault="00EB365E" w:rsidP="00EB365E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3DC3481" w14:textId="77777777" w:rsidR="00EB365E" w:rsidRDefault="00EB365E" w:rsidP="00EB365E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licznika energii elektrycznej: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sz w:val="22"/>
          <w:szCs w:val="22"/>
        </w:rPr>
        <w:t xml:space="preserve">, stan: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kWh;</w:t>
      </w:r>
    </w:p>
    <w:p w14:paraId="01D6EFA4" w14:textId="77777777" w:rsidR="00EB365E" w:rsidRDefault="00EB365E" w:rsidP="00EB365E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licznika wody: </w:t>
      </w:r>
    </w:p>
    <w:p w14:paraId="2DB41197" w14:textId="77777777" w:rsidR="00EB365E" w:rsidRDefault="00EB365E" w:rsidP="00EB365E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 ciepłej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sz w:val="22"/>
          <w:szCs w:val="22"/>
        </w:rPr>
        <w:t xml:space="preserve">, stan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0138B5F" w14:textId="77777777" w:rsidR="00EB365E" w:rsidRDefault="00EB365E" w:rsidP="00EB365E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sz w:val="22"/>
          <w:szCs w:val="22"/>
        </w:rPr>
        <w:t xml:space="preserve">, stan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38D6B13A" w14:textId="77777777" w:rsidR="00EB365E" w:rsidRDefault="00EB365E" w:rsidP="00EB365E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licznika gazu: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sz w:val="22"/>
          <w:szCs w:val="22"/>
        </w:rPr>
        <w:t xml:space="preserve">, stan: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1F59BF56" w14:textId="6EDEBD90" w:rsidR="00EB365E" w:rsidRDefault="00EB365E" w:rsidP="00EB36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Przejmujący oświadcza, że </w:t>
      </w:r>
      <w:r w:rsidR="00314B0A">
        <w:rPr>
          <w:rFonts w:asciiTheme="minorHAnsi" w:hAnsiTheme="minorHAnsi" w:cstheme="minorHAnsi"/>
          <w:sz w:val="22"/>
          <w:szCs w:val="22"/>
        </w:rPr>
        <w:t>Przedmiot najmu</w:t>
      </w:r>
      <w:r>
        <w:rPr>
          <w:rFonts w:asciiTheme="minorHAnsi" w:hAnsiTheme="minorHAnsi" w:cstheme="minorHAnsi"/>
          <w:sz w:val="22"/>
          <w:szCs w:val="22"/>
        </w:rPr>
        <w:t xml:space="preserve"> posiada na wyposażeniu: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należy wymienić wszelkie przedmioty stanowiące wyposażenie </w:t>
      </w:r>
      <w:r w:rsidR="00314B0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Domu oraz Nieruchomości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zarówno meble</w:t>
      </w:r>
      <w:r w:rsidR="00F17BD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sprzęt AGD,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jak i wyposażenie dodatkowe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tj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naczynia, dywan]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0E01BC" w14:textId="572C4484" w:rsidR="00EB365E" w:rsidRDefault="00EB365E" w:rsidP="00EB36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</w:t>
      </w:r>
      <w:r w:rsidR="00314B0A">
        <w:rPr>
          <w:rFonts w:asciiTheme="minorHAnsi" w:hAnsiTheme="minorHAnsi" w:cstheme="minorHAnsi"/>
          <w:sz w:val="22"/>
          <w:szCs w:val="22"/>
        </w:rPr>
        <w:t>Przedmiotu najmu</w:t>
      </w:r>
      <w:r>
        <w:rPr>
          <w:rFonts w:asciiTheme="minorHAnsi" w:hAnsiTheme="minorHAnsi" w:cstheme="minorHAnsi"/>
          <w:sz w:val="22"/>
          <w:szCs w:val="22"/>
        </w:rPr>
        <w:t xml:space="preserve"> i nie wnosi uwag/wnosi następujące uwagi**: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należy opisać wszelkie uwagi do przekazywanego </w:t>
      </w:r>
      <w:r w:rsidR="00314B0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Przedmiotu najmu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jeżeli zostaną stwierdzone jakiekolwiek usterki warto dołączyć do protokołu ich zdjęcia</w:t>
      </w:r>
      <w:r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21656BAE" w14:textId="13110E7C" w:rsidR="00EB365E" w:rsidRDefault="00EB365E" w:rsidP="00EB36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Wraz z przekazaniem </w:t>
      </w:r>
      <w:r w:rsidR="00314B0A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doszło do wydania:</w:t>
      </w:r>
    </w:p>
    <w:p w14:paraId="4AE0B8A5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klucze do drzwi wejściowych: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2A1861E4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**klucze do garażu: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04703A67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**pilot do drzwi garażowych: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607D3B56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**klucze do furtki: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3F5A3BBE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**klucze do piwnicy: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03B2B847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**klucze do skrzynki pocztowej: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7A541D82" w14:textId="77777777" w:rsidR="00EB365E" w:rsidRDefault="00EB365E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**kod do domofonu: [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 szt.</w:t>
      </w:r>
    </w:p>
    <w:p w14:paraId="54982279" w14:textId="054AC80A" w:rsidR="00546BE3" w:rsidRDefault="00546BE3" w:rsidP="00EB365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[</w:t>
      </w:r>
      <w:r w:rsidRPr="00546BE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inne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7FCFA64" w14:textId="77777777" w:rsidR="00EB365E" w:rsidRDefault="00EB365E" w:rsidP="00EB36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 został sporządzony w 2-óch egzemplarzach po jednym dla każdej ze Stron.</w:t>
      </w:r>
    </w:p>
    <w:p w14:paraId="0F1E930A" w14:textId="77777777" w:rsidR="00EB365E" w:rsidRDefault="00EB365E" w:rsidP="00EB36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FBAFC4" w14:textId="77777777" w:rsidR="00EB365E" w:rsidRDefault="00EB365E" w:rsidP="00EB365E">
      <w:pPr>
        <w:jc w:val="center"/>
        <w:rPr>
          <w:sz w:val="24"/>
          <w:szCs w:val="24"/>
        </w:rPr>
      </w:pPr>
      <w:r>
        <w:rPr>
          <w:i/>
          <w:iCs/>
          <w:highlight w:val="yellow"/>
        </w:rPr>
        <w:t>[data i czytelny podpis]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highlight w:val="yellow"/>
        </w:rPr>
        <w:t>[data i czytelny podpis]</w:t>
      </w:r>
      <w:r>
        <w:rPr>
          <w:sz w:val="24"/>
          <w:szCs w:val="24"/>
        </w:rPr>
        <w:tab/>
      </w:r>
    </w:p>
    <w:p w14:paraId="2C92B078" w14:textId="77777777" w:rsidR="00EB365E" w:rsidRDefault="00EB365E" w:rsidP="00EB365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p w14:paraId="1288C343" w14:textId="77777777" w:rsidR="00EB365E" w:rsidRDefault="00EB365E" w:rsidP="00EB365E">
      <w:pPr>
        <w:spacing w:after="0"/>
        <w:jc w:val="both"/>
        <w:rPr>
          <w:i/>
          <w:iCs/>
        </w:rPr>
      </w:pPr>
    </w:p>
    <w:p w14:paraId="23B7A8C0" w14:textId="77777777" w:rsidR="000B4906" w:rsidRDefault="000B4906"/>
    <w:sectPr w:rsidR="000B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</w:lvl>
    <w:lvl w:ilvl="2" w:tplc="1DD4B6B0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36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55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5E"/>
    <w:rsid w:val="000B4906"/>
    <w:rsid w:val="00314B0A"/>
    <w:rsid w:val="00546BE3"/>
    <w:rsid w:val="00791180"/>
    <w:rsid w:val="00EB365E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21A"/>
  <w15:chartTrackingRefBased/>
  <w15:docId w15:val="{8A330DD2-EE71-4EFE-8D1D-69C4D5B5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6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EB365E"/>
  </w:style>
  <w:style w:type="character" w:customStyle="1" w:styleId="eop">
    <w:name w:val="eop"/>
    <w:basedOn w:val="Domylnaczcionkaakapitu"/>
    <w:rsid w:val="00E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7223E-94A7-4370-BAF5-DF4CBF99C1B9}">
  <ds:schemaRefs>
    <ds:schemaRef ds:uri="4ee08db6-e46f-4e4e-8eab-46a2f2ed1144"/>
    <ds:schemaRef ds:uri="http://schemas.openxmlformats.org/package/2006/metadata/core-properties"/>
    <ds:schemaRef ds:uri="4c0dc43a-794a-4898-bf0c-a164308460a1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9B1974-9DF6-406F-820D-A8A9B5C10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61199-2DED-4389-AC84-7043AF7F8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Aneta Frydrych</cp:lastModifiedBy>
  <cp:revision>3</cp:revision>
  <dcterms:created xsi:type="dcterms:W3CDTF">2022-09-07T11:29:00Z</dcterms:created>
  <dcterms:modified xsi:type="dcterms:W3CDTF">2022-09-09T06:24:00Z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